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97A4B" w14:textId="77777777" w:rsidR="0063652B" w:rsidRPr="00AF5C8B" w:rsidRDefault="0063652B" w:rsidP="0063652B">
      <w:pPr>
        <w:jc w:val="center"/>
        <w:rPr>
          <w:b/>
          <w:bCs/>
          <w:sz w:val="28"/>
          <w:szCs w:val="28"/>
          <w:lang w:val="kk-KZ"/>
        </w:rPr>
      </w:pPr>
      <w:bookmarkStart w:id="0" w:name="_Hlk150104175"/>
      <w:bookmarkStart w:id="1" w:name="_Hlk150102583"/>
      <w:bookmarkStart w:id="2" w:name="_Hlk150104900"/>
      <w:r w:rsidRPr="00AF5C8B">
        <w:rPr>
          <w:b/>
          <w:bCs/>
          <w:sz w:val="28"/>
          <w:szCs w:val="28"/>
          <w:lang w:val="kk-KZ"/>
        </w:rPr>
        <w:t>С. АМАНЖОЛОВ АТЫНДАҒЫ ШЫҒЫС ҚАЗАҚСТАН</w:t>
      </w:r>
    </w:p>
    <w:p w14:paraId="73A57FEF" w14:textId="77777777" w:rsidR="0063652B" w:rsidRPr="00AF5C8B" w:rsidRDefault="0063652B" w:rsidP="0063652B">
      <w:pPr>
        <w:jc w:val="center"/>
        <w:rPr>
          <w:b/>
          <w:bCs/>
          <w:sz w:val="28"/>
          <w:szCs w:val="28"/>
          <w:lang w:val="kk-KZ"/>
        </w:rPr>
      </w:pPr>
      <w:r w:rsidRPr="00AF5C8B">
        <w:rPr>
          <w:b/>
          <w:bCs/>
          <w:sz w:val="28"/>
          <w:szCs w:val="28"/>
          <w:lang w:val="kk-KZ"/>
        </w:rPr>
        <w:t xml:space="preserve"> УНИВЕРСИТЕТІ</w:t>
      </w:r>
    </w:p>
    <w:p w14:paraId="2F29FB39" w14:textId="77777777" w:rsidR="0063652B" w:rsidRDefault="0063652B" w:rsidP="0063652B">
      <w:pPr>
        <w:jc w:val="center"/>
        <w:rPr>
          <w:bCs/>
          <w:sz w:val="28"/>
          <w:szCs w:val="28"/>
          <w:lang w:val="kk-KZ"/>
        </w:rPr>
      </w:pPr>
    </w:p>
    <w:p w14:paraId="789775DF" w14:textId="77777777" w:rsidR="0063652B" w:rsidRDefault="0063652B" w:rsidP="0063652B">
      <w:pPr>
        <w:jc w:val="right"/>
        <w:rPr>
          <w:bCs/>
          <w:sz w:val="28"/>
          <w:szCs w:val="28"/>
          <w:lang w:val="kk-KZ"/>
        </w:rPr>
      </w:pPr>
      <w:r w:rsidRPr="00AF5C8B">
        <w:rPr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0B7EEA4" wp14:editId="1B4AD8DB">
            <wp:simplePos x="0" y="0"/>
            <wp:positionH relativeFrom="column">
              <wp:posOffset>2348547</wp:posOffset>
            </wp:positionH>
            <wp:positionV relativeFrom="paragraph">
              <wp:posOffset>4445</wp:posOffset>
            </wp:positionV>
            <wp:extent cx="1242695" cy="1325245"/>
            <wp:effectExtent l="0" t="0" r="0" b="0"/>
            <wp:wrapTight wrapText="bothSides">
              <wp:wrapPolygon edited="0">
                <wp:start x="0" y="0"/>
                <wp:lineTo x="0" y="21424"/>
                <wp:lineTo x="21192" y="21424"/>
                <wp:lineTo x="21192" y="0"/>
                <wp:lineTo x="0" y="0"/>
              </wp:wrapPolygon>
            </wp:wrapTight>
            <wp:docPr id="68" name="Рисунок 4">
              <a:extLst xmlns:a="http://schemas.openxmlformats.org/drawingml/2006/main">
                <a:ext uri="{FF2B5EF4-FFF2-40B4-BE49-F238E27FC236}">
                  <a16:creationId xmlns:a16="http://schemas.microsoft.com/office/drawing/2014/main" id="{2284D200-7DCF-45BC-A8EF-3FBF896281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:a16="http://schemas.microsoft.com/office/drawing/2014/main" id="{2284D200-7DCF-45BC-A8EF-3FBF8962811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21" t="27787" r="42915" b="32360"/>
                    <a:stretch/>
                  </pic:blipFill>
                  <pic:spPr bwMode="auto">
                    <a:xfrm>
                      <a:off x="0" y="0"/>
                      <a:ext cx="1242695" cy="1325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91E6BE" w14:textId="77777777" w:rsidR="0063652B" w:rsidRDefault="0063652B" w:rsidP="0063652B">
      <w:pPr>
        <w:jc w:val="right"/>
        <w:rPr>
          <w:bCs/>
          <w:sz w:val="28"/>
          <w:szCs w:val="28"/>
          <w:lang w:val="kk-KZ"/>
        </w:rPr>
      </w:pPr>
    </w:p>
    <w:p w14:paraId="294DF53F" w14:textId="77777777" w:rsidR="0063652B" w:rsidRDefault="0063652B" w:rsidP="0063652B">
      <w:pPr>
        <w:jc w:val="center"/>
        <w:rPr>
          <w:bCs/>
          <w:sz w:val="28"/>
          <w:szCs w:val="28"/>
          <w:lang w:val="kk-KZ"/>
        </w:rPr>
      </w:pPr>
    </w:p>
    <w:p w14:paraId="2EC62CC8" w14:textId="77777777" w:rsidR="0063652B" w:rsidRDefault="0063652B" w:rsidP="0063652B">
      <w:pPr>
        <w:jc w:val="right"/>
        <w:rPr>
          <w:bCs/>
          <w:sz w:val="28"/>
          <w:szCs w:val="28"/>
          <w:lang w:val="kk-KZ"/>
        </w:rPr>
      </w:pPr>
    </w:p>
    <w:p w14:paraId="03B0C5A8" w14:textId="77777777" w:rsidR="0063652B" w:rsidRDefault="0063652B" w:rsidP="0063652B">
      <w:pPr>
        <w:jc w:val="right"/>
        <w:rPr>
          <w:bCs/>
          <w:sz w:val="28"/>
          <w:szCs w:val="28"/>
          <w:lang w:val="kk-KZ"/>
        </w:rPr>
      </w:pPr>
    </w:p>
    <w:p w14:paraId="2F9B7F12" w14:textId="77777777" w:rsidR="0063652B" w:rsidRDefault="0063652B" w:rsidP="0063652B">
      <w:pPr>
        <w:jc w:val="right"/>
        <w:rPr>
          <w:bCs/>
          <w:sz w:val="28"/>
          <w:szCs w:val="28"/>
          <w:lang w:val="kk-KZ"/>
        </w:rPr>
      </w:pPr>
    </w:p>
    <w:p w14:paraId="2FFEB7FE" w14:textId="77777777" w:rsidR="0063652B" w:rsidRDefault="0063652B" w:rsidP="0063652B">
      <w:pPr>
        <w:jc w:val="center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Химия кафедрасы</w:t>
      </w:r>
    </w:p>
    <w:p w14:paraId="59E54D5C" w14:textId="77777777" w:rsidR="0063652B" w:rsidRDefault="0063652B" w:rsidP="0063652B">
      <w:pPr>
        <w:jc w:val="right"/>
        <w:rPr>
          <w:bCs/>
          <w:sz w:val="28"/>
          <w:szCs w:val="28"/>
          <w:lang w:val="kk-KZ"/>
        </w:rPr>
      </w:pPr>
    </w:p>
    <w:p w14:paraId="053FD668" w14:textId="77777777" w:rsidR="0063652B" w:rsidRDefault="0063652B" w:rsidP="0063652B">
      <w:pPr>
        <w:jc w:val="right"/>
        <w:rPr>
          <w:bCs/>
          <w:sz w:val="28"/>
          <w:szCs w:val="28"/>
          <w:lang w:val="kk-KZ"/>
        </w:rPr>
      </w:pPr>
    </w:p>
    <w:p w14:paraId="7D1103A8" w14:textId="77777777" w:rsidR="0063652B" w:rsidRPr="00852394" w:rsidRDefault="0063652B" w:rsidP="0063652B">
      <w:pPr>
        <w:jc w:val="center"/>
        <w:rPr>
          <w:b/>
          <w:bCs/>
          <w:sz w:val="28"/>
          <w:szCs w:val="28"/>
          <w:lang w:val="kk-KZ"/>
        </w:rPr>
      </w:pPr>
      <w:r w:rsidRPr="00692820">
        <w:rPr>
          <w:sz w:val="28"/>
          <w:szCs w:val="28"/>
          <w:lang w:val="kk-KZ"/>
        </w:rPr>
        <w:t>Пән:</w:t>
      </w:r>
      <w:r w:rsidRPr="00852394">
        <w:rPr>
          <w:b/>
          <w:bCs/>
          <w:sz w:val="28"/>
          <w:szCs w:val="28"/>
          <w:lang w:val="kk-KZ"/>
        </w:rPr>
        <w:t xml:space="preserve"> </w:t>
      </w:r>
      <w:bookmarkStart w:id="3" w:name="_Hlk150102152"/>
      <w:r>
        <w:rPr>
          <w:b/>
          <w:bCs/>
          <w:sz w:val="28"/>
          <w:szCs w:val="28"/>
          <w:lang w:val="kk-KZ"/>
        </w:rPr>
        <w:t>Статистикалық талдау әдістері</w:t>
      </w:r>
      <w:bookmarkEnd w:id="0"/>
      <w:bookmarkEnd w:id="3"/>
    </w:p>
    <w:bookmarkEnd w:id="1"/>
    <w:p w14:paraId="21991F18" w14:textId="34209C07" w:rsidR="0063652B" w:rsidRPr="0063652B" w:rsidRDefault="0063652B" w:rsidP="006365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820">
        <w:rPr>
          <w:sz w:val="28"/>
          <w:szCs w:val="28"/>
          <w:lang w:val="kk-KZ"/>
        </w:rPr>
        <w:t>№</w:t>
      </w:r>
      <w:r>
        <w:rPr>
          <w:sz w:val="28"/>
          <w:szCs w:val="28"/>
          <w:lang w:val="kk-KZ"/>
        </w:rPr>
        <w:t>7</w:t>
      </w:r>
      <w:r w:rsidRPr="00692820">
        <w:rPr>
          <w:sz w:val="28"/>
          <w:szCs w:val="28"/>
          <w:lang w:val="kk-KZ"/>
        </w:rPr>
        <w:t xml:space="preserve"> Дәріс:</w:t>
      </w:r>
      <w:r w:rsidRPr="00852394">
        <w:rPr>
          <w:b/>
          <w:bCs/>
          <w:sz w:val="28"/>
          <w:szCs w:val="28"/>
          <w:lang w:val="kk-KZ"/>
        </w:rPr>
        <w:t xml:space="preserve"> «</w:t>
      </w:r>
      <w:proofErr w:type="spellStart"/>
      <w:r w:rsidRPr="0063652B">
        <w:rPr>
          <w:rFonts w:ascii="Times New Roman" w:hAnsi="Times New Roman" w:cs="Times New Roman"/>
          <w:b/>
          <w:bCs/>
          <w:sz w:val="28"/>
          <w:szCs w:val="28"/>
        </w:rPr>
        <w:t>Жартылай</w:t>
      </w:r>
      <w:proofErr w:type="spellEnd"/>
      <w:r w:rsidRPr="006365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b/>
          <w:bCs/>
          <w:sz w:val="28"/>
          <w:szCs w:val="28"/>
        </w:rPr>
        <w:t>микроанализге</w:t>
      </w:r>
      <w:proofErr w:type="spellEnd"/>
      <w:r w:rsidRPr="0063652B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63652B">
        <w:rPr>
          <w:rFonts w:ascii="Times New Roman" w:hAnsi="Times New Roman" w:cs="Times New Roman"/>
          <w:b/>
          <w:bCs/>
          <w:sz w:val="28"/>
          <w:szCs w:val="28"/>
        </w:rPr>
        <w:t>полумикроанализ</w:t>
      </w:r>
      <w:proofErr w:type="spellEnd"/>
      <w:r w:rsidRPr="0063652B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proofErr w:type="spellStart"/>
      <w:r w:rsidRPr="0063652B">
        <w:rPr>
          <w:rFonts w:ascii="Times New Roman" w:hAnsi="Times New Roman" w:cs="Times New Roman"/>
          <w:b/>
          <w:bCs/>
          <w:sz w:val="28"/>
          <w:szCs w:val="28"/>
        </w:rPr>
        <w:t>арналған</w:t>
      </w:r>
      <w:proofErr w:type="spellEnd"/>
      <w:r w:rsidRPr="006365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b/>
          <w:bCs/>
          <w:sz w:val="28"/>
          <w:szCs w:val="28"/>
        </w:rPr>
        <w:t>құралдар</w:t>
      </w:r>
      <w:proofErr w:type="spellEnd"/>
      <w:r w:rsidRPr="0063652B">
        <w:rPr>
          <w:rFonts w:ascii="Times New Roman" w:hAnsi="Times New Roman" w:cs="Times New Roman"/>
          <w:b/>
          <w:bCs/>
          <w:sz w:val="28"/>
          <w:szCs w:val="28"/>
        </w:rPr>
        <w:t xml:space="preserve"> мен </w:t>
      </w:r>
      <w:proofErr w:type="spellStart"/>
      <w:r w:rsidRPr="0063652B">
        <w:rPr>
          <w:rFonts w:ascii="Times New Roman" w:hAnsi="Times New Roman" w:cs="Times New Roman"/>
          <w:b/>
          <w:bCs/>
          <w:sz w:val="28"/>
          <w:szCs w:val="28"/>
        </w:rPr>
        <w:t>ыдыстар</w:t>
      </w:r>
      <w:proofErr w:type="spellEnd"/>
      <w:r w:rsidRPr="00852394">
        <w:rPr>
          <w:b/>
          <w:bCs/>
          <w:sz w:val="28"/>
          <w:szCs w:val="28"/>
          <w:lang w:val="kk-KZ"/>
        </w:rPr>
        <w:t>»</w:t>
      </w:r>
    </w:p>
    <w:p w14:paraId="0A4AA5E7" w14:textId="77777777" w:rsidR="0063652B" w:rsidRPr="0063652B" w:rsidRDefault="0063652B" w:rsidP="0063652B">
      <w:pPr>
        <w:jc w:val="center"/>
        <w:rPr>
          <w:b/>
          <w:bCs/>
          <w:sz w:val="28"/>
          <w:szCs w:val="28"/>
        </w:rPr>
      </w:pPr>
      <w:bookmarkStart w:id="4" w:name="_GoBack"/>
      <w:bookmarkEnd w:id="4"/>
    </w:p>
    <w:p w14:paraId="6CCB3BA6" w14:textId="77777777" w:rsidR="0063652B" w:rsidRPr="00852394" w:rsidRDefault="0063652B" w:rsidP="0063652B">
      <w:pPr>
        <w:rPr>
          <w:bCs/>
          <w:sz w:val="28"/>
          <w:szCs w:val="28"/>
          <w:lang w:val="kk-KZ"/>
        </w:rPr>
      </w:pPr>
    </w:p>
    <w:p w14:paraId="4BBC3A01" w14:textId="77777777" w:rsidR="0063652B" w:rsidRDefault="0063652B" w:rsidP="0063652B">
      <w:pPr>
        <w:rPr>
          <w:b/>
          <w:bCs/>
          <w:sz w:val="28"/>
          <w:szCs w:val="28"/>
          <w:lang w:val="kk-KZ"/>
        </w:rPr>
      </w:pPr>
    </w:p>
    <w:p w14:paraId="7C16FF9C" w14:textId="77777777" w:rsidR="0063652B" w:rsidRPr="00852394" w:rsidRDefault="0063652B" w:rsidP="0063652B">
      <w:pPr>
        <w:jc w:val="right"/>
        <w:rPr>
          <w:bCs/>
          <w:sz w:val="28"/>
          <w:szCs w:val="28"/>
          <w:lang w:val="kk-KZ"/>
        </w:rPr>
      </w:pPr>
    </w:p>
    <w:p w14:paraId="1958F424" w14:textId="77777777" w:rsidR="0063652B" w:rsidRPr="00852394" w:rsidRDefault="0063652B" w:rsidP="0063652B">
      <w:pPr>
        <w:jc w:val="right"/>
        <w:rPr>
          <w:bCs/>
          <w:sz w:val="28"/>
          <w:szCs w:val="28"/>
          <w:lang w:val="kk-KZ"/>
        </w:rPr>
      </w:pPr>
    </w:p>
    <w:p w14:paraId="049AD549" w14:textId="77777777" w:rsidR="0063652B" w:rsidRPr="00AF5C8B" w:rsidRDefault="0063652B" w:rsidP="0063652B">
      <w:pPr>
        <w:jc w:val="right"/>
        <w:rPr>
          <w:bCs/>
          <w:sz w:val="28"/>
          <w:szCs w:val="28"/>
          <w:lang w:val="kk-KZ"/>
        </w:rPr>
      </w:pPr>
      <w:r w:rsidRPr="00852394">
        <w:rPr>
          <w:bCs/>
          <w:sz w:val="28"/>
          <w:szCs w:val="28"/>
          <w:lang w:val="kk-KZ"/>
        </w:rPr>
        <w:t>Лектор</w:t>
      </w:r>
      <w:r>
        <w:rPr>
          <w:bCs/>
          <w:sz w:val="28"/>
          <w:szCs w:val="28"/>
          <w:lang w:val="kk-KZ"/>
        </w:rPr>
        <w:t xml:space="preserve">: Қантай Нұрғамит, </w:t>
      </w:r>
      <w:r w:rsidRPr="00AF5C8B">
        <w:rPr>
          <w:bCs/>
          <w:sz w:val="28"/>
          <w:szCs w:val="28"/>
          <w:lang w:val="kk-KZ"/>
        </w:rPr>
        <w:t>PhD</w:t>
      </w:r>
    </w:p>
    <w:p w14:paraId="42F4FA95" w14:textId="77777777" w:rsidR="0063652B" w:rsidRPr="00852394" w:rsidRDefault="0063652B" w:rsidP="0063652B">
      <w:pPr>
        <w:rPr>
          <w:bCs/>
          <w:sz w:val="28"/>
          <w:szCs w:val="28"/>
          <w:lang w:val="kk-KZ"/>
        </w:rPr>
      </w:pPr>
    </w:p>
    <w:p w14:paraId="4B3DEE49" w14:textId="77777777" w:rsidR="0063652B" w:rsidRPr="00852394" w:rsidRDefault="0063652B" w:rsidP="0063652B">
      <w:pPr>
        <w:rPr>
          <w:bCs/>
          <w:sz w:val="28"/>
          <w:szCs w:val="28"/>
          <w:lang w:val="kk-KZ"/>
        </w:rPr>
      </w:pPr>
    </w:p>
    <w:p w14:paraId="21EB3D4A" w14:textId="77777777" w:rsidR="0063652B" w:rsidRPr="00852394" w:rsidRDefault="0063652B" w:rsidP="0063652B">
      <w:pPr>
        <w:rPr>
          <w:bCs/>
          <w:sz w:val="28"/>
          <w:szCs w:val="28"/>
          <w:lang w:val="kk-KZ"/>
        </w:rPr>
      </w:pPr>
    </w:p>
    <w:p w14:paraId="1F96271C" w14:textId="77777777" w:rsidR="0063652B" w:rsidRPr="00852394" w:rsidRDefault="0063652B" w:rsidP="0063652B">
      <w:pPr>
        <w:rPr>
          <w:bCs/>
          <w:sz w:val="28"/>
          <w:szCs w:val="28"/>
          <w:lang w:val="kk-KZ"/>
        </w:rPr>
      </w:pPr>
    </w:p>
    <w:p w14:paraId="5E671092" w14:textId="77777777" w:rsidR="0063652B" w:rsidRPr="00852394" w:rsidRDefault="0063652B" w:rsidP="0063652B">
      <w:pPr>
        <w:rPr>
          <w:bCs/>
          <w:sz w:val="28"/>
          <w:szCs w:val="28"/>
          <w:lang w:val="kk-KZ"/>
        </w:rPr>
      </w:pPr>
    </w:p>
    <w:p w14:paraId="32F3A21B" w14:textId="77777777" w:rsidR="0063652B" w:rsidRPr="00852394" w:rsidRDefault="0063652B" w:rsidP="0063652B">
      <w:pPr>
        <w:rPr>
          <w:bCs/>
          <w:sz w:val="28"/>
          <w:szCs w:val="28"/>
          <w:lang w:val="kk-KZ"/>
        </w:rPr>
      </w:pPr>
    </w:p>
    <w:p w14:paraId="479EC352" w14:textId="77777777" w:rsidR="0063652B" w:rsidRPr="00AF5C8B" w:rsidRDefault="0063652B" w:rsidP="0063652B">
      <w:pPr>
        <w:jc w:val="center"/>
        <w:rPr>
          <w:b/>
          <w:bCs/>
          <w:sz w:val="28"/>
          <w:szCs w:val="28"/>
          <w:lang w:val="kk-KZ"/>
        </w:rPr>
      </w:pPr>
      <w:r w:rsidRPr="00AF5C8B">
        <w:rPr>
          <w:b/>
          <w:bCs/>
          <w:sz w:val="28"/>
          <w:szCs w:val="28"/>
          <w:lang w:val="kk-KZ"/>
        </w:rPr>
        <w:t>Өскемен 2023</w:t>
      </w:r>
      <w:r>
        <w:rPr>
          <w:b/>
          <w:bCs/>
          <w:sz w:val="28"/>
          <w:szCs w:val="28"/>
          <w:lang w:val="kk-KZ"/>
        </w:rPr>
        <w:t xml:space="preserve"> </w:t>
      </w:r>
      <w:r w:rsidRPr="00AF5C8B">
        <w:rPr>
          <w:b/>
          <w:bCs/>
          <w:sz w:val="28"/>
          <w:szCs w:val="28"/>
          <w:lang w:val="kk-KZ"/>
        </w:rPr>
        <w:t>ж</w:t>
      </w:r>
      <w:r>
        <w:rPr>
          <w:b/>
          <w:bCs/>
          <w:sz w:val="28"/>
          <w:szCs w:val="28"/>
          <w:lang w:val="kk-KZ"/>
        </w:rPr>
        <w:t>.</w:t>
      </w:r>
    </w:p>
    <w:bookmarkEnd w:id="2"/>
    <w:p w14:paraId="382599BC" w14:textId="601E4260" w:rsidR="0063652B" w:rsidRPr="0063652B" w:rsidRDefault="0063652B" w:rsidP="006365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3652B">
        <w:rPr>
          <w:rFonts w:ascii="Times New Roman" w:hAnsi="Times New Roman" w:cs="Times New Roman"/>
          <w:b/>
          <w:bCs/>
          <w:sz w:val="28"/>
          <w:szCs w:val="28"/>
        </w:rPr>
        <w:lastRenderedPageBreak/>
        <w:t>Жартылай</w:t>
      </w:r>
      <w:proofErr w:type="spellEnd"/>
      <w:r w:rsidRPr="006365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b/>
          <w:bCs/>
          <w:sz w:val="28"/>
          <w:szCs w:val="28"/>
        </w:rPr>
        <w:t>микроанализге</w:t>
      </w:r>
      <w:proofErr w:type="spellEnd"/>
      <w:r w:rsidRPr="0063652B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63652B">
        <w:rPr>
          <w:rFonts w:ascii="Times New Roman" w:hAnsi="Times New Roman" w:cs="Times New Roman"/>
          <w:b/>
          <w:bCs/>
          <w:sz w:val="28"/>
          <w:szCs w:val="28"/>
        </w:rPr>
        <w:t>полумикроанализ</w:t>
      </w:r>
      <w:proofErr w:type="spellEnd"/>
      <w:r w:rsidRPr="0063652B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proofErr w:type="spellStart"/>
      <w:r w:rsidRPr="0063652B">
        <w:rPr>
          <w:rFonts w:ascii="Times New Roman" w:hAnsi="Times New Roman" w:cs="Times New Roman"/>
          <w:b/>
          <w:bCs/>
          <w:sz w:val="28"/>
          <w:szCs w:val="28"/>
        </w:rPr>
        <w:t>арналған</w:t>
      </w:r>
      <w:proofErr w:type="spellEnd"/>
      <w:r w:rsidRPr="006365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b/>
          <w:bCs/>
          <w:sz w:val="28"/>
          <w:szCs w:val="28"/>
        </w:rPr>
        <w:t>құралдар</w:t>
      </w:r>
      <w:proofErr w:type="spellEnd"/>
      <w:r w:rsidRPr="0063652B">
        <w:rPr>
          <w:rFonts w:ascii="Times New Roman" w:hAnsi="Times New Roman" w:cs="Times New Roman"/>
          <w:b/>
          <w:bCs/>
          <w:sz w:val="28"/>
          <w:szCs w:val="28"/>
        </w:rPr>
        <w:t xml:space="preserve"> мен </w:t>
      </w:r>
      <w:proofErr w:type="spellStart"/>
      <w:r w:rsidRPr="0063652B">
        <w:rPr>
          <w:rFonts w:ascii="Times New Roman" w:hAnsi="Times New Roman" w:cs="Times New Roman"/>
          <w:b/>
          <w:bCs/>
          <w:sz w:val="28"/>
          <w:szCs w:val="28"/>
        </w:rPr>
        <w:t>ыдыстар</w:t>
      </w:r>
      <w:proofErr w:type="spellEnd"/>
    </w:p>
    <w:p w14:paraId="7EE6E7BC" w14:textId="56F5F970" w:rsidR="00540828" w:rsidRDefault="0063652B" w:rsidP="00636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Жартылай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микроанализге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полумикроанализ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құралдар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ыдыстар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Сапалық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микроанализ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ыдыстар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құралдардың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мынандай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пробиркалар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капиллярлық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түтікшелер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пипеткалар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реактивтерге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ыдыстар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шыны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таяқшалар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колбалар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стакандар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табақшалар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тигельдер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тамшылатқыш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пластинкалар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өлшеуіш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заттық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шынылар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келілер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(ступки),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фарфорлы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үшбұрыштар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пинцеттер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тигельді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қысқыштар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су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жылытқышы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жалындар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электрлік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плиткалар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центрифугалар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лупасы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микроскопты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қолданады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Пробиркалар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аналитикалық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тәжірибелерді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пробиркаларда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жасайды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Пробиркалардың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түрін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қолданады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: конус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тәрізді-центрифугирлеу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цилиндрлік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Жартылай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микроанализде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центрифугалық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пробиркалармен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1а)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істегенде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центрифугирлеуден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тұнбаны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ерітуге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жууға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қиын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пробиркалардан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тұнбаның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сипатын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түсін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кристалдығын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анықтағанда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байқалады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Центрифугалық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пробиркаларды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центрифугирлеу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қолданбайды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реакцияларды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орындауға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Цилиндрлық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пробиркалардың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1ә)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ұзындығы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50 - 80 мм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56F1A13" w14:textId="50A04384" w:rsidR="0063652B" w:rsidRDefault="0063652B" w:rsidP="00636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аналитикалық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операцияларының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орындалуы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Қыздыру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Ерітінділерді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колбада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стаканда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табақшада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пробиркада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қыздырады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Колбалар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стакандарды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жалында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қыздыруға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Қыздыруды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газ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жалынында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асбестелген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торға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стакан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колбаны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қойып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қыздырады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Ыдыстың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сырты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құрғақ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қалуы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сұйықтықтың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құрамында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тұнба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қоспаны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араластыра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қыздырады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Сұйықтығы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пробирканы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жалынында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сулы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қыздырғышта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қыздыруға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Пробирканы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қыздырған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алдымен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пробирканың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қабырғасын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отқа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қыздырып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Қыздырған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пробирканың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ауызын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қасындағы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кісілерге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бағыттауға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қайнаған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сұйықтық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қышқыл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сілті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шашырауы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Анализ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ерітінділердің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көлемін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азайту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құрғағанша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буландыру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Буландыруды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көбіне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асбестелген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торда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сулы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қыздырғышқа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салынған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фарфор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табақшасын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қолданады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F4AFF2A" w14:textId="398F1A03" w:rsidR="0063652B" w:rsidRDefault="0063652B" w:rsidP="00636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Тұндыру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Сапалық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анализде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тұндыру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әдістерін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бөлу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қолданады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Тұндыруда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тұнбаға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түсетін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қосылыстың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түсіне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пішініне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аудару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Тұнбаларды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кристалдық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аморфты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бөледі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Кристалдық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тұнбаларды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сыртынан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қараған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ұсақ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ірі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түйіршік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көрінеді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микроскоппен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қарағанда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кристалдардың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пішіндерін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байқауға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Кристалдық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тұнбалардың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өсуін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тездету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сұйықтықты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шыны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таяқшамен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дұрыстап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араластырады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Кристаллдық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тұнбалар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оңай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центрифугирленеді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BaSO4, КНС4Н4О6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).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Аморфты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тұнбалар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реактивті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құйған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лезде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түзіледі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ыдыстың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түбіне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жәй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тұнады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қиын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центрифугирленеді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коллоидты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ерітінділер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түзуге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бейім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электролиттің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қатысында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тұндырып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қыздырады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lastRenderedPageBreak/>
        <w:t>олар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коагуляцияланады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Аморфты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тұнбалар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түріне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ұнтақ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тәрізді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(BaCO3),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ірімшік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тәрізді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AgCl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қоймалжың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Fe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(OH)3)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Ұнтақ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тәрізді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тұнбалар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жай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тұнады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сүзгіден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жеңіл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өтеді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Микроскоппен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қараған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ұсақ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дәндер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көрінеді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Сапалық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анализде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иондарды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мақсатта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тұндырады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ионды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ашуға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ерітіндінің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құрамындағы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иондарды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басқалардан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бөлу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тамшы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реактивтен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ионның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барын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жоғын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байқауға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керісінше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жасалынатын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реакция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толықтай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өтуі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ионнан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ионды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айыру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алдымен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ионның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барына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көз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зерттелетін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ерітіндінің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2-3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тамшысына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тамшы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реактивті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құяды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реактив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шынымен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тұнба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түзе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алатын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зерттелетін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ерітіндіге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тұнба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түзілуге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мөлшерді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құяды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Негізінен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тұндыруды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ыстық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ерітіндіде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орындайды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температураның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жоғарылауы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тұнбаның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іріленуіне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әкеледі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тұнбаларды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сүзгенде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центрифугирлегенде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жеңіл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бөлінеді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Негізінен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тұндыруды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мынандай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өткізеді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: 2-3 мл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зерттелетін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ерітіндіні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центрифугирлеу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пробиркаға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стаканға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құяды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реакцияны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жолымен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танысқаннан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ортасын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қышқылдық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сілтілік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бейтарап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температурасын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келтіреді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Реакция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ортасын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индикатор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қағазбен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қарайды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шыны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таяқшаны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ерітіндіге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батырып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қағаздың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шетіне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жағады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ерітіндіні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10-15 мин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қыздырып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араластыра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тұндырғышты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құяды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Центрифугирлеу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Жартылай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микроанализде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ерітіндідегі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тұнбаны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центрифугирлеу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бөледі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Центрифуганың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бар: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механикалық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электрлік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центрифуга.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Центрифугамен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істеген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ережелерді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: 1.Центрифугирлеу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бірдей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мөлшердегі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формадағы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пробирканы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қолданады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2.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Сұйықтықты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пробиркаға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құйғанда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6-7 мм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3.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Центрифуганың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қарама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гильзалардың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салмақтары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бірдей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Гильзаның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жүктемесі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, центрифуга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жасамайды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4.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Пробиркаларды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қарама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гильзаға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қойып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центрифугирленеді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Механикалық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центрифуганы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қолданған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рукояткасын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жайлап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айналдыра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бастайды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Электрлік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центрифугада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алдымен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қақпағын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жауып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токты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қосады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реостаттың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ручкасын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жайлап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айналдырады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5.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Механикалық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центрифугада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центрифугирлеуді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аяқтағаннан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жай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жылдамдықпен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тоқтату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Электрлік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центрифуга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тоқтамастан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реостаттың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ручкасын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жайлап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1–2 мин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қалпына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әкеледі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Центрифуга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тоқтағаннан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қақпағын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ашып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пробирканы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63652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1E5BB42" w14:textId="0626A9E1" w:rsidR="0063652B" w:rsidRDefault="0063652B" w:rsidP="00636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Аналитикалық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зертханада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аналитикалық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таразыдан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дәл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өлшейтін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ыдыстарды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бюреткалар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градуирленген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түтіктер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өлшеуіш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колбалар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Бюреткалар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түтіктер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пипеткаларды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) 1 мл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мөлшерлі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көлемді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өлшеу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пайдаланады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Әдетте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өлшеуіш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түтіктен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сұйықты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өздігінен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ағып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шығуға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Сыйымдылығы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1мл–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өлшеуіш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түтіктердегі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сұйықтарды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үрлеп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шығару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Өлшеуіш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колбаларға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сұйықтықты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көлемде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құяды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Градуирлеу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Ерітінділердің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көлемін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дәл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өлшеу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өлшегіш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ыдыстарды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градуирлеу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Ыдысты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градуирлеу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lastRenderedPageBreak/>
        <w:t>көлемін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құйылған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су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көлемінің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массасын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анықтап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өлшемді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судың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тығыздығына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бөлу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Ыдыстарды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градуирлеу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25ºС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температурадан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ауытқыған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пайдаланған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температурада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градуирлеуді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жүргізеді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Шыны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сұйықтыққа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қарағанда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көлемінің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ұлғаюы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кішірейуі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аз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температураға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шыны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ыдыста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сұйықтық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көлемнен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кіші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>.</w:t>
      </w:r>
    </w:p>
    <w:p w14:paraId="144FD6D0" w14:textId="3AEF3280" w:rsidR="0063652B" w:rsidRDefault="0063652B" w:rsidP="00636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63652B">
        <w:rPr>
          <w:rFonts w:ascii="Times New Roman" w:hAnsi="Times New Roman" w:cs="Times New Roman"/>
          <w:sz w:val="28"/>
          <w:szCs w:val="28"/>
        </w:rPr>
        <w:t>Өлшеуіш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ыдыстарды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айтқан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өлшейтін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көлемнің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дұрыстығы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өлшеу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қайталанылымдылығының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айырмашылығын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өлшеуіш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ыдыс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көлемнің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дұрыстығын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максимальді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жіберген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қателікпен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жіберілген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ауытқулармен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көрсетіледі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Қайталанылымдылық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бюретканың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колба мен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пипетканың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белгісіне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толтырылған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белгісі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44-кестеде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берілгендей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өлшеуіш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ыдыстар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ауытқулардан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мысалдар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келтірілген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Аналитикалық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зертханада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әдетте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қолданатын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арзан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бағалы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құралдар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талаптарға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сай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келмейді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есе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ауытқулар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жібереді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Кестеде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ауытқулар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максимал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қателіктің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жіберген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абсолюттік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мәнін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бюретканың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сыйымдылығы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50 мл,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жіберілетін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ауытқуы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0,05 мл,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бюреткадан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шыққан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көлем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өлшемінің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абсолюттік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қателігі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0,05 мл.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бюреткіден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40 мл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құйылған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максимал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жіберілетін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салыстырмалы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максималды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қателіктің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мәні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пайызбен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анықталғанда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мынаған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тең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0,5 мл 40,00 ·100 = 0,125 %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Сыйымдылығы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50,0 мл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көлемдегі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бюретканың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көлемін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өлшеудің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абсолюттік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қателігінің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мәні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±0,02 мл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тең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Бюреткада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мән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алынады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абсолюттік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қателіктің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өлшемі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±0,04мл.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Абсолюттік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қателік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көлемге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бірдей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салыстырмалы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қателік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сыйымдығы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50мл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бюреткадан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10,00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40,00 мл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көлемін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өлшеудегі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салыстырмалы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қателігі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төмендегі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теңдіктермен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анықталады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636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52B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571217C" w14:textId="77777777" w:rsidR="0063652B" w:rsidRPr="0063652B" w:rsidRDefault="0063652B" w:rsidP="00636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3652B" w:rsidRPr="0063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828"/>
    <w:rsid w:val="00540828"/>
    <w:rsid w:val="0063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38BEB"/>
  <w15:chartTrackingRefBased/>
  <w15:docId w15:val="{C301C62D-077E-469C-B483-1D4CBEF4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1204</Words>
  <Characters>6863</Characters>
  <Application>Microsoft Office Word</Application>
  <DocSecurity>0</DocSecurity>
  <Lines>57</Lines>
  <Paragraphs>16</Paragraphs>
  <ScaleCrop>false</ScaleCrop>
  <Company/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2023-11-05T18:42:00Z</dcterms:created>
  <dcterms:modified xsi:type="dcterms:W3CDTF">2023-11-05T18:51:00Z</dcterms:modified>
</cp:coreProperties>
</file>