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Тема 3. Инвестиционная политика и стратегия предприятия</w:t>
      </w:r>
    </w:p>
    <w:p w:rsidR="00A3544D" w:rsidRPr="00656D2B" w:rsidRDefault="00A3544D" w:rsidP="00A3544D">
      <w:pPr>
        <w:pStyle w:val="a4"/>
        <w:numPr>
          <w:ilvl w:val="0"/>
          <w:numId w:val="3"/>
        </w:numPr>
        <w:shd w:val="clear" w:color="auto" w:fill="auto"/>
        <w:tabs>
          <w:tab w:val="left" w:pos="721"/>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Инвестиционная политика: содержание, виды и принципы разработки</w:t>
      </w:r>
    </w:p>
    <w:p w:rsidR="00A3544D" w:rsidRPr="00656D2B" w:rsidRDefault="00A3544D" w:rsidP="00A3544D">
      <w:pPr>
        <w:pStyle w:val="a4"/>
        <w:numPr>
          <w:ilvl w:val="0"/>
          <w:numId w:val="3"/>
        </w:numPr>
        <w:shd w:val="clear" w:color="auto" w:fill="auto"/>
        <w:tabs>
          <w:tab w:val="left" w:pos="735"/>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Понятие инвестиционной стратегии, этапы ее разработки</w:t>
      </w:r>
    </w:p>
    <w:p w:rsidR="00A3544D" w:rsidRPr="00656D2B" w:rsidRDefault="00A3544D" w:rsidP="00A3544D">
      <w:pPr>
        <w:pStyle w:val="180"/>
        <w:numPr>
          <w:ilvl w:val="0"/>
          <w:numId w:val="4"/>
        </w:numPr>
        <w:shd w:val="clear" w:color="auto" w:fill="auto"/>
        <w:tabs>
          <w:tab w:val="left" w:pos="721"/>
        </w:tabs>
        <w:spacing w:before="0" w:line="240" w:lineRule="auto"/>
        <w:ind w:left="100" w:firstLine="520"/>
        <w:rPr>
          <w:rFonts w:ascii="Times New Roman" w:hAnsi="Times New Roman"/>
          <w:sz w:val="24"/>
          <w:szCs w:val="24"/>
        </w:rPr>
      </w:pPr>
      <w:r w:rsidRPr="00656D2B">
        <w:rPr>
          <w:rStyle w:val="18"/>
          <w:rFonts w:ascii="Times New Roman" w:hAnsi="Times New Roman"/>
          <w:i/>
          <w:iCs/>
          <w:color w:val="000000"/>
          <w:sz w:val="24"/>
          <w:szCs w:val="24"/>
        </w:rPr>
        <w:t>Инвестиционная политика: содержание, виды и принципы разработки</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Инвестиционная политика предприятия представляет собой сложную и взаимосвязанную совокупность видов деятельности предприятия, направленную на его дальнейшее развитие, получение прибыли и других положительных эффектов в результате инвестиционных вложений.</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Разработка инвестиционной политики предполагает: определение долгосрочных целей предприятия; выбор наиболее перспективных и выгодных вариантов вложений капитала; разработку приоритетов в развитии предприятия; оценку альтернативных инвестиционных проектов; разработку технологических, маркетинговых, финансовых прогнозов; оценку последствий реализации инвестиционных проектов.</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 xml:space="preserve">Инвестиционная политика является составной частью общей финансовой стратегии предприятия и нацелена на обеспечение оптимального использования инвестиционных ресурсов, рациональное сочетание различных источников финансирования, достижение положительных интегральных показателей эффективности проекта и </w:t>
      </w:r>
      <w:proofErr w:type="spellStart"/>
      <w:r w:rsidRPr="00656D2B">
        <w:rPr>
          <w:rStyle w:val="a3"/>
          <w:rFonts w:ascii="Times New Roman" w:hAnsi="Times New Roman"/>
          <w:color w:val="000000"/>
          <w:sz w:val="24"/>
          <w:szCs w:val="24"/>
        </w:rPr>
        <w:t>вцелом</w:t>
      </w:r>
      <w:proofErr w:type="spellEnd"/>
      <w:r w:rsidRPr="00656D2B">
        <w:rPr>
          <w:rStyle w:val="a3"/>
          <w:rFonts w:ascii="Times New Roman" w:hAnsi="Times New Roman"/>
          <w:color w:val="000000"/>
          <w:sz w:val="24"/>
          <w:szCs w:val="24"/>
        </w:rPr>
        <w:t xml:space="preserve"> на экономически целесообразные направления развития предприятия.</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Рассмотрим виды инвестиционной политики. Инвестиционную политику предприятия классифицируют в зависимости от её направленности. С этой точки зрения выделяют инвестиционную политику, направленную на:</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повышение эффективности производства;</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модернизацию технологического оборудования и технологических процессов;</w:t>
      </w:r>
    </w:p>
    <w:p w:rsidR="00A3544D" w:rsidRPr="00656D2B" w:rsidRDefault="00A3544D" w:rsidP="00A3544D">
      <w:pPr>
        <w:pStyle w:val="a4"/>
        <w:numPr>
          <w:ilvl w:val="0"/>
          <w:numId w:val="2"/>
        </w:numPr>
        <w:shd w:val="clear" w:color="auto" w:fill="auto"/>
        <w:tabs>
          <w:tab w:val="left" w:pos="682"/>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создание новых предприятий (производств);</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внедрение принципиально нового оборудования и вход на новые рынки сбыта.</w:t>
      </w:r>
    </w:p>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Факторы, учитываемые при разработке инвестиционной политики предприятия:</w:t>
      </w:r>
    </w:p>
    <w:p w:rsidR="00A3544D" w:rsidRPr="00656D2B" w:rsidRDefault="00A3544D" w:rsidP="00A3544D">
      <w:pPr>
        <w:pStyle w:val="a4"/>
        <w:numPr>
          <w:ilvl w:val="0"/>
          <w:numId w:val="1"/>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финансово-экономическое положение предприятия;</w:t>
      </w:r>
    </w:p>
    <w:p w:rsidR="00A3544D" w:rsidRPr="00656D2B" w:rsidRDefault="00A3544D" w:rsidP="00A3544D">
      <w:pPr>
        <w:pStyle w:val="a4"/>
        <w:numPr>
          <w:ilvl w:val="0"/>
          <w:numId w:val="2"/>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состояние рынка выпускаемой предприятием продукции, объём, качество и цена продукции;</w:t>
      </w:r>
    </w:p>
    <w:p w:rsidR="00A3544D" w:rsidRPr="00656D2B" w:rsidRDefault="00A3544D" w:rsidP="00A3544D">
      <w:pPr>
        <w:pStyle w:val="a4"/>
        <w:numPr>
          <w:ilvl w:val="0"/>
          <w:numId w:val="1"/>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технический уровень производства, наличие незавершённого строительства и не установленного оборудования;</w:t>
      </w:r>
    </w:p>
    <w:p w:rsidR="00A3544D" w:rsidRPr="00656D2B" w:rsidRDefault="00A3544D" w:rsidP="00A3544D">
      <w:pPr>
        <w:pStyle w:val="a4"/>
        <w:numPr>
          <w:ilvl w:val="0"/>
          <w:numId w:val="1"/>
        </w:numPr>
        <w:shd w:val="clear" w:color="auto" w:fill="auto"/>
        <w:tabs>
          <w:tab w:val="left" w:pos="702"/>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лизинговые условия (возможность получения оборудования по лизингу);</w:t>
      </w:r>
    </w:p>
    <w:p w:rsidR="00A3544D" w:rsidRPr="00656D2B" w:rsidRDefault="00A3544D" w:rsidP="00A3544D">
      <w:pPr>
        <w:pStyle w:val="a4"/>
        <w:numPr>
          <w:ilvl w:val="0"/>
          <w:numId w:val="1"/>
        </w:numPr>
        <w:shd w:val="clear" w:color="auto" w:fill="auto"/>
        <w:tabs>
          <w:tab w:val="left" w:pos="705"/>
        </w:tabs>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наличие у предприятия как собственных, так и возможности привлечения заёмных средств в форме кредитов и займов, соотношение собственных и заемных средств;</w:t>
      </w:r>
    </w:p>
    <w:p w:rsidR="00A3544D" w:rsidRPr="00656D2B" w:rsidRDefault="00A3544D" w:rsidP="00A3544D">
      <w:pPr>
        <w:pStyle w:val="a4"/>
        <w:numPr>
          <w:ilvl w:val="0"/>
          <w:numId w:val="2"/>
        </w:numPr>
        <w:shd w:val="clear" w:color="auto" w:fill="auto"/>
        <w:tabs>
          <w:tab w:val="left" w:pos="702"/>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условия финансирования инвестиций на рынке капитала;</w:t>
      </w:r>
    </w:p>
    <w:p w:rsidR="00A3544D" w:rsidRPr="00656D2B" w:rsidRDefault="00A3544D" w:rsidP="00A3544D">
      <w:pPr>
        <w:pStyle w:val="a4"/>
        <w:numPr>
          <w:ilvl w:val="0"/>
          <w:numId w:val="2"/>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льготы, получаемые инвесторами от государства;</w:t>
      </w:r>
    </w:p>
    <w:p w:rsidR="00A3544D" w:rsidRPr="00656D2B" w:rsidRDefault="00A3544D" w:rsidP="00A3544D">
      <w:pPr>
        <w:pStyle w:val="a4"/>
        <w:numPr>
          <w:ilvl w:val="0"/>
          <w:numId w:val="1"/>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коммерческая и бюджетная эффективность намечаемых к реализации проектов;</w:t>
      </w:r>
    </w:p>
    <w:p w:rsidR="00A3544D" w:rsidRPr="00656D2B" w:rsidRDefault="00A3544D" w:rsidP="00A3544D">
      <w:pPr>
        <w:pStyle w:val="a4"/>
        <w:numPr>
          <w:ilvl w:val="0"/>
          <w:numId w:val="1"/>
        </w:numPr>
        <w:shd w:val="clear" w:color="auto" w:fill="auto"/>
        <w:tabs>
          <w:tab w:val="left" w:pos="706"/>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условия страхования и получения соответствующих гарантий инвестиций от некоммерческих рисков.</w:t>
      </w:r>
    </w:p>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Принципы разработки инвестиционной политики предприятия:</w:t>
      </w:r>
    </w:p>
    <w:p w:rsidR="00A3544D" w:rsidRPr="00656D2B" w:rsidRDefault="00A3544D" w:rsidP="00A3544D">
      <w:pPr>
        <w:pStyle w:val="a4"/>
        <w:numPr>
          <w:ilvl w:val="0"/>
          <w:numId w:val="5"/>
        </w:numPr>
        <w:shd w:val="clear" w:color="auto" w:fill="auto"/>
        <w:tabs>
          <w:tab w:val="left" w:pos="721"/>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нацеленность инвестиционной политики на достижение стратегических планов предприятия и его финансовую устойчивость;</w:t>
      </w:r>
    </w:p>
    <w:p w:rsidR="00A3544D" w:rsidRPr="00656D2B" w:rsidRDefault="00A3544D" w:rsidP="00A3544D">
      <w:pPr>
        <w:pStyle w:val="a4"/>
        <w:numPr>
          <w:ilvl w:val="0"/>
          <w:numId w:val="5"/>
        </w:numPr>
        <w:shd w:val="clear" w:color="auto" w:fill="auto"/>
        <w:tabs>
          <w:tab w:val="left" w:pos="73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учет инфляции и фактора риска;</w:t>
      </w:r>
    </w:p>
    <w:p w:rsidR="00A3544D" w:rsidRPr="00656D2B" w:rsidRDefault="00A3544D" w:rsidP="00A3544D">
      <w:pPr>
        <w:pStyle w:val="a4"/>
        <w:numPr>
          <w:ilvl w:val="0"/>
          <w:numId w:val="5"/>
        </w:numPr>
        <w:shd w:val="clear" w:color="auto" w:fill="auto"/>
        <w:tabs>
          <w:tab w:val="left" w:pos="73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экономическое обоснование инвестиций;</w:t>
      </w:r>
    </w:p>
    <w:p w:rsidR="00A3544D" w:rsidRPr="00656D2B" w:rsidRDefault="00A3544D" w:rsidP="00A3544D">
      <w:pPr>
        <w:pStyle w:val="a4"/>
        <w:numPr>
          <w:ilvl w:val="0"/>
          <w:numId w:val="5"/>
        </w:numPr>
        <w:shd w:val="clear" w:color="auto" w:fill="auto"/>
        <w:tabs>
          <w:tab w:val="left" w:pos="74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формирование оптимальной структуры портфельных и реальных инвестиций;</w:t>
      </w:r>
    </w:p>
    <w:p w:rsidR="00A3544D" w:rsidRPr="00656D2B" w:rsidRDefault="00A3544D" w:rsidP="00A3544D">
      <w:pPr>
        <w:pStyle w:val="a4"/>
        <w:numPr>
          <w:ilvl w:val="0"/>
          <w:numId w:val="5"/>
        </w:numPr>
        <w:shd w:val="clear" w:color="auto" w:fill="auto"/>
        <w:tabs>
          <w:tab w:val="left" w:pos="714"/>
        </w:tabs>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ранжирование проектов и инвестиций по их важности и последовательности реализации исходя из имеющихся ресурсов и с учетом привлечения внешних источников;</w:t>
      </w:r>
    </w:p>
    <w:p w:rsidR="00A3544D" w:rsidRPr="00656D2B" w:rsidRDefault="00A3544D" w:rsidP="00A3544D">
      <w:pPr>
        <w:pStyle w:val="a4"/>
        <w:numPr>
          <w:ilvl w:val="0"/>
          <w:numId w:val="5"/>
        </w:numPr>
        <w:shd w:val="clear" w:color="auto" w:fill="auto"/>
        <w:tabs>
          <w:tab w:val="left" w:pos="735"/>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выбор надежных и более дешевых источников и методов финансирования инвестиций.</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 xml:space="preserve">Учет этих и других принципов позволит избежать многих ошибок и просчетов при разработке инвестиционной политики на предприятии. Налогообложение и принципы составления финансовой отчетности также учитываются при разработке инвестиционной </w:t>
      </w:r>
      <w:r w:rsidRPr="00656D2B">
        <w:rPr>
          <w:rStyle w:val="a3"/>
          <w:rFonts w:ascii="Times New Roman" w:hAnsi="Times New Roman"/>
          <w:color w:val="000000"/>
          <w:sz w:val="24"/>
          <w:szCs w:val="24"/>
        </w:rPr>
        <w:lastRenderedPageBreak/>
        <w:t>политики.</w:t>
      </w:r>
    </w:p>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Инвестиционная политика предприятий должна включать несколько элементов:</w:t>
      </w:r>
    </w:p>
    <w:p w:rsidR="00A3544D" w:rsidRPr="00656D2B" w:rsidRDefault="00A3544D" w:rsidP="00A3544D">
      <w:pPr>
        <w:pStyle w:val="a4"/>
        <w:numPr>
          <w:ilvl w:val="0"/>
          <w:numId w:val="2"/>
        </w:numPr>
        <w:shd w:val="clear" w:color="auto" w:fill="auto"/>
        <w:tabs>
          <w:tab w:val="left" w:pos="671"/>
        </w:tabs>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разработку' инвестиционных программ, нацеленных на реализацию стратегической цели, в том числе создание новых технологий и новой продукции, а также модернизация уже производимой продукции;</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ранжирование инвестиционных программ, исходя из приоритетности целевых установок;</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формирование структуры, которая способствовала бы эффективной реализации выбранных инвестиционных программ;</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поиск источников реализации инвестиционных программ;</w:t>
      </w:r>
    </w:p>
    <w:p w:rsidR="00A3544D" w:rsidRPr="00656D2B" w:rsidRDefault="00A3544D" w:rsidP="00A3544D">
      <w:pPr>
        <w:pStyle w:val="a4"/>
        <w:numPr>
          <w:ilvl w:val="0"/>
          <w:numId w:val="2"/>
        </w:numPr>
        <w:shd w:val="clear" w:color="auto" w:fill="auto"/>
        <w:tabs>
          <w:tab w:val="left" w:pos="682"/>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оценку эффективности инвестиционной политики комплекса.</w:t>
      </w:r>
    </w:p>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В своей инвестиционной политике предприятие может выбирать различные ее виды:</w:t>
      </w:r>
    </w:p>
    <w:p w:rsidR="00A3544D" w:rsidRPr="00656D2B" w:rsidRDefault="00A3544D" w:rsidP="00A3544D">
      <w:pPr>
        <w:pStyle w:val="a4"/>
        <w:numPr>
          <w:ilvl w:val="0"/>
          <w:numId w:val="1"/>
        </w:numPr>
        <w:shd w:val="clear" w:color="auto" w:fill="auto"/>
        <w:tabs>
          <w:tab w:val="left" w:pos="87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консервативная инвестиционная политика,</w:t>
      </w:r>
    </w:p>
    <w:p w:rsidR="00A3544D" w:rsidRPr="00656D2B" w:rsidRDefault="00A3544D" w:rsidP="00A3544D">
      <w:pPr>
        <w:pStyle w:val="a4"/>
        <w:numPr>
          <w:ilvl w:val="0"/>
          <w:numId w:val="1"/>
        </w:numPr>
        <w:shd w:val="clear" w:color="auto" w:fill="auto"/>
        <w:tabs>
          <w:tab w:val="left" w:pos="87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компромиссная (умеренная) инвестиционная политика,</w:t>
      </w:r>
    </w:p>
    <w:p w:rsidR="00A3544D" w:rsidRPr="00656D2B" w:rsidRDefault="00A3544D" w:rsidP="00A3544D">
      <w:pPr>
        <w:pStyle w:val="a4"/>
        <w:numPr>
          <w:ilvl w:val="0"/>
          <w:numId w:val="1"/>
        </w:numPr>
        <w:shd w:val="clear" w:color="auto" w:fill="auto"/>
        <w:tabs>
          <w:tab w:val="left" w:pos="860"/>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агрессивная инвестиционная политика.</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Консервативная инвестиционная политика - вариант политики инвестиционной деятельности предприятия, приоритетной целью которой является минимизация уровня инвестиционного риска. При осуществлении такой политики инвестор не стремится ни к максимизации уровня текущей прибыльности инвестиций, ни к максимизации темпов роста капитала.</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Компромиссная (умеренная) инвестиционная политика - вариант политики осуществления инвестиционной деятельности предприятия, направленной на выбор таких объектов инвестирования, по которым уровни прибыльности и риска в наибольшей степени приближены к среднерыночным.</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Агрессивная инвестиционная политика - вариант политики осуществления инвестиционной деятельности предприятия, направленной на выбор таких объектов инвестирования, по которым уровни прибыльности и риска значительно выше среднерыночных.</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В конечном итоге инвестиционная политика на предприятии должна быть направлена на обеспечение финансовой устойчивости предприятия не только на сегодня, но и на будущее. Если этого плана нет, то ни о какой инвестиционной политике не может быть и речи.</w:t>
      </w:r>
    </w:p>
    <w:p w:rsidR="00A3544D" w:rsidRPr="00656D2B" w:rsidRDefault="00A3544D" w:rsidP="00A3544D">
      <w:pPr>
        <w:pStyle w:val="a4"/>
        <w:shd w:val="clear" w:color="auto" w:fill="auto"/>
        <w:spacing w:after="0" w:line="240" w:lineRule="auto"/>
        <w:ind w:left="100" w:right="40" w:firstLine="520"/>
        <w:jc w:val="both"/>
        <w:rPr>
          <w:rFonts w:ascii="Times New Roman" w:hAnsi="Times New Roman"/>
          <w:sz w:val="24"/>
          <w:szCs w:val="24"/>
        </w:rPr>
      </w:pPr>
      <w:r w:rsidRPr="00656D2B">
        <w:rPr>
          <w:rStyle w:val="a3"/>
          <w:rFonts w:ascii="Times New Roman" w:hAnsi="Times New Roman"/>
          <w:color w:val="000000"/>
          <w:sz w:val="24"/>
          <w:szCs w:val="24"/>
        </w:rPr>
        <w:t>Инвестиционная политика представляет собой реализацию инвестиционной стратегии предприятия на отдельных этапах его жизненного цикла. Рассмотрим таблицу'.</w:t>
      </w:r>
    </w:p>
    <w:p w:rsidR="00A3544D" w:rsidRDefault="00A3544D" w:rsidP="00A3544D">
      <w:pPr>
        <w:pStyle w:val="a4"/>
        <w:shd w:val="clear" w:color="auto" w:fill="auto"/>
        <w:spacing w:after="0" w:line="240" w:lineRule="auto"/>
        <w:ind w:right="40"/>
        <w:jc w:val="both"/>
        <w:rPr>
          <w:rStyle w:val="a3"/>
          <w:rFonts w:ascii="Times New Roman" w:hAnsi="Times New Roman"/>
          <w:color w:val="000000"/>
          <w:sz w:val="24"/>
          <w:szCs w:val="24"/>
        </w:rPr>
      </w:pPr>
      <w:r w:rsidRPr="00656D2B">
        <w:rPr>
          <w:rStyle w:val="a3"/>
          <w:rFonts w:ascii="Times New Roman" w:hAnsi="Times New Roman"/>
          <w:color w:val="000000"/>
          <w:sz w:val="24"/>
          <w:szCs w:val="24"/>
        </w:rPr>
        <w:t>Таблица. Взаимосвязи типов стратегий</w:t>
      </w:r>
      <w:r>
        <w:rPr>
          <w:rStyle w:val="a3"/>
          <w:rFonts w:ascii="Times New Roman" w:hAnsi="Times New Roman"/>
          <w:color w:val="000000"/>
          <w:sz w:val="24"/>
          <w:szCs w:val="24"/>
        </w:rPr>
        <w:t xml:space="preserve"> </w:t>
      </w:r>
      <w:r w:rsidRPr="00656D2B">
        <w:rPr>
          <w:rFonts w:ascii="Times New Roman" w:hAnsi="Times New Roman"/>
          <w:color w:val="000000"/>
          <w:sz w:val="24"/>
          <w:szCs w:val="24"/>
          <w:u w:val="single"/>
        </w:rPr>
        <w:t>с инвестиционно</w:t>
      </w:r>
      <w:r w:rsidRPr="00656D2B">
        <w:rPr>
          <w:rStyle w:val="a3"/>
          <w:rFonts w:ascii="Times New Roman" w:hAnsi="Times New Roman"/>
          <w:color w:val="000000"/>
          <w:sz w:val="24"/>
          <w:szCs w:val="24"/>
        </w:rPr>
        <w:t>й политикой</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3642"/>
        <w:gridCol w:w="3643"/>
      </w:tblGrid>
      <w:tr w:rsidR="00A3544D" w:rsidRPr="005A271F" w:rsidTr="0099717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Тип стратегии</w:t>
            </w:r>
          </w:p>
        </w:t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Состояние предприятия</w:t>
            </w:r>
          </w:p>
        </w:tc>
        <w:tc>
          <w:tcPr>
            <w:tcW w:w="3643"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Инвестиционная стратегия</w:t>
            </w:r>
          </w:p>
        </w:tc>
      </w:tr>
      <w:tr w:rsidR="00A3544D" w:rsidRPr="005A271F" w:rsidTr="0099717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1. Ограниченный рост</w:t>
            </w:r>
          </w:p>
        </w:t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Со стабильным ассортиментом продукции;</w:t>
            </w:r>
          </w:p>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стабильными производственными технологиями</w:t>
            </w:r>
          </w:p>
        </w:tc>
        <w:tc>
          <w:tcPr>
            <w:tcW w:w="3643"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Направлена на:</w:t>
            </w:r>
          </w:p>
          <w:p w:rsidR="00A3544D" w:rsidRPr="005A271F" w:rsidRDefault="00A3544D" w:rsidP="00A3544D">
            <w:pPr>
              <w:pStyle w:val="a4"/>
              <w:numPr>
                <w:ilvl w:val="0"/>
                <w:numId w:val="6"/>
              </w:numPr>
              <w:shd w:val="clear" w:color="auto" w:fill="auto"/>
              <w:tabs>
                <w:tab w:val="left" w:pos="147"/>
              </w:tabs>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эффективное обеспечение воспроизводственных процессов;</w:t>
            </w:r>
          </w:p>
          <w:p w:rsidR="00A3544D" w:rsidRPr="005A271F" w:rsidRDefault="00A3544D" w:rsidP="00A3544D">
            <w:pPr>
              <w:pStyle w:val="a4"/>
              <w:numPr>
                <w:ilvl w:val="0"/>
                <w:numId w:val="6"/>
              </w:numPr>
              <w:shd w:val="clear" w:color="auto" w:fill="auto"/>
              <w:tabs>
                <w:tab w:val="left" w:pos="152"/>
              </w:tabs>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прирост активов, обеспечивающих ограниченный рост объемов производств и реализации продукции</w:t>
            </w:r>
          </w:p>
        </w:tc>
      </w:tr>
      <w:tr w:rsidR="00A3544D" w:rsidRPr="005A271F" w:rsidTr="0099717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2. Ускоренный рост</w:t>
            </w:r>
          </w:p>
        </w:t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Находится в ранних стадиях жизненного цикла</w:t>
            </w:r>
          </w:p>
        </w:tc>
        <w:tc>
          <w:tcPr>
            <w:tcW w:w="3643"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Направлена на обеспечение высоких темпов развития</w:t>
            </w:r>
          </w:p>
        </w:tc>
      </w:tr>
      <w:tr w:rsidR="00A3544D" w:rsidRPr="005A271F" w:rsidTr="0099717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3. Сокращение</w:t>
            </w:r>
          </w:p>
        </w:t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Находится на последних стадиях своего жизненного цикла (в стадии финансового кризиса)</w:t>
            </w:r>
          </w:p>
        </w:tc>
        <w:tc>
          <w:tcPr>
            <w:tcW w:w="3643"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Направлена на высокую маневренность использования высвобождаемого капитала</w:t>
            </w:r>
          </w:p>
        </w:tc>
      </w:tr>
      <w:tr w:rsidR="00A3544D" w:rsidRPr="005A271F" w:rsidTr="0099717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4. Комбинированный</w:t>
            </w:r>
          </w:p>
        </w:tc>
        <w:tc>
          <w:tcPr>
            <w:tcW w:w="3642" w:type="dxa"/>
            <w:shd w:val="clear" w:color="auto" w:fill="auto"/>
          </w:tcPr>
          <w:p w:rsidR="00A3544D" w:rsidRPr="005A271F" w:rsidRDefault="00A3544D" w:rsidP="0099717C">
            <w:pPr>
              <w:pStyle w:val="a4"/>
              <w:shd w:val="clear" w:color="auto" w:fill="auto"/>
              <w:spacing w:after="0" w:line="240" w:lineRule="auto"/>
              <w:ind w:left="80"/>
              <w:jc w:val="left"/>
              <w:rPr>
                <w:rFonts w:ascii="Times New Roman" w:hAnsi="Times New Roman"/>
                <w:sz w:val="24"/>
                <w:szCs w:val="24"/>
              </w:rPr>
            </w:pPr>
            <w:r w:rsidRPr="005A271F">
              <w:rPr>
                <w:rStyle w:val="a3"/>
                <w:rFonts w:ascii="Times New Roman" w:hAnsi="Times New Roman"/>
                <w:color w:val="000000"/>
                <w:sz w:val="24"/>
                <w:szCs w:val="24"/>
              </w:rPr>
              <w:t xml:space="preserve">Для крупных предприятий с широкой отраслевой и </w:t>
            </w:r>
            <w:r w:rsidRPr="005A271F">
              <w:rPr>
                <w:rStyle w:val="a3"/>
                <w:rFonts w:ascii="Times New Roman" w:hAnsi="Times New Roman"/>
                <w:color w:val="000000"/>
                <w:sz w:val="24"/>
                <w:szCs w:val="24"/>
              </w:rPr>
              <w:lastRenderedPageBreak/>
              <w:t>региональной диверсифицированной деятельности</w:t>
            </w:r>
          </w:p>
        </w:tc>
        <w:tc>
          <w:tcPr>
            <w:tcW w:w="3643" w:type="dxa"/>
            <w:shd w:val="clear" w:color="auto" w:fill="auto"/>
          </w:tcPr>
          <w:p w:rsidR="00A3544D" w:rsidRPr="005A271F" w:rsidRDefault="00A3544D" w:rsidP="0099717C">
            <w:pPr>
              <w:pStyle w:val="a4"/>
              <w:shd w:val="clear" w:color="auto" w:fill="auto"/>
              <w:spacing w:after="0" w:line="240" w:lineRule="auto"/>
              <w:jc w:val="both"/>
              <w:rPr>
                <w:rFonts w:ascii="Times New Roman" w:hAnsi="Times New Roman"/>
                <w:sz w:val="24"/>
                <w:szCs w:val="24"/>
              </w:rPr>
            </w:pPr>
            <w:r w:rsidRPr="005A271F">
              <w:rPr>
                <w:rStyle w:val="a3"/>
                <w:rFonts w:ascii="Times New Roman" w:hAnsi="Times New Roman"/>
                <w:color w:val="000000"/>
                <w:sz w:val="24"/>
                <w:szCs w:val="24"/>
              </w:rPr>
              <w:lastRenderedPageBreak/>
              <w:t xml:space="preserve">Направлена на дифференциацию в разрезе определенных объектов </w:t>
            </w:r>
            <w:r w:rsidRPr="005A271F">
              <w:rPr>
                <w:rStyle w:val="a3"/>
                <w:rFonts w:ascii="Times New Roman" w:hAnsi="Times New Roman"/>
                <w:color w:val="000000"/>
                <w:sz w:val="24"/>
                <w:szCs w:val="24"/>
              </w:rPr>
              <w:lastRenderedPageBreak/>
              <w:t>стратегического управления</w:t>
            </w:r>
          </w:p>
        </w:tc>
      </w:tr>
    </w:tbl>
    <w:p w:rsidR="00A3544D" w:rsidRDefault="00A3544D" w:rsidP="00A3544D">
      <w:pPr>
        <w:pStyle w:val="a4"/>
        <w:shd w:val="clear" w:color="auto" w:fill="auto"/>
        <w:spacing w:after="0" w:line="240" w:lineRule="auto"/>
        <w:ind w:right="40"/>
        <w:jc w:val="both"/>
        <w:rPr>
          <w:rStyle w:val="a3"/>
          <w:rFonts w:ascii="Times New Roman" w:hAnsi="Times New Roman"/>
          <w:color w:val="000000"/>
          <w:sz w:val="24"/>
          <w:szCs w:val="24"/>
        </w:rPr>
      </w:pPr>
    </w:p>
    <w:p w:rsidR="00A3544D" w:rsidRPr="00656D2B" w:rsidRDefault="00A3544D" w:rsidP="00A3544D">
      <w:pPr>
        <w:pStyle w:val="a4"/>
        <w:shd w:val="clear" w:color="auto" w:fill="auto"/>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Альтернативы инвестиционной политики могут быть изучены и выявлены, если будут выполнены исследования:</w:t>
      </w:r>
    </w:p>
    <w:p w:rsidR="00A3544D" w:rsidRPr="00656D2B" w:rsidRDefault="00A3544D" w:rsidP="00A3544D">
      <w:pPr>
        <w:pStyle w:val="a4"/>
        <w:numPr>
          <w:ilvl w:val="0"/>
          <w:numId w:val="2"/>
        </w:numPr>
        <w:shd w:val="clear" w:color="auto" w:fill="auto"/>
        <w:tabs>
          <w:tab w:val="left" w:pos="687"/>
        </w:tabs>
        <w:spacing w:after="0" w:line="240" w:lineRule="auto"/>
        <w:ind w:left="100" w:firstLine="520"/>
        <w:jc w:val="both"/>
        <w:rPr>
          <w:rFonts w:ascii="Times New Roman" w:hAnsi="Times New Roman"/>
          <w:sz w:val="24"/>
          <w:szCs w:val="24"/>
        </w:rPr>
      </w:pPr>
      <w:r w:rsidRPr="00656D2B">
        <w:rPr>
          <w:rStyle w:val="a3"/>
          <w:rFonts w:ascii="Times New Roman" w:hAnsi="Times New Roman"/>
          <w:color w:val="000000"/>
          <w:sz w:val="24"/>
          <w:szCs w:val="24"/>
        </w:rPr>
        <w:t>внешней среды;</w:t>
      </w:r>
    </w:p>
    <w:p w:rsidR="00A3544D" w:rsidRPr="00656D2B" w:rsidRDefault="00A3544D" w:rsidP="00A3544D">
      <w:pPr>
        <w:pStyle w:val="a4"/>
        <w:numPr>
          <w:ilvl w:val="0"/>
          <w:numId w:val="2"/>
        </w:numPr>
        <w:shd w:val="clear" w:color="auto" w:fill="auto"/>
        <w:tabs>
          <w:tab w:val="left" w:pos="670"/>
        </w:tabs>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в определении направлений развития отраслей экономики и последующего селективного отбора перспективных отраслевых инвестиционных проектов;</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закономерностей развития производственных систем, подлежащих разработке и внедрению;</w:t>
      </w:r>
    </w:p>
    <w:p w:rsidR="00A3544D" w:rsidRPr="00656D2B" w:rsidRDefault="00A3544D" w:rsidP="00A3544D">
      <w:pPr>
        <w:pStyle w:val="a4"/>
        <w:numPr>
          <w:ilvl w:val="0"/>
          <w:numId w:val="2"/>
        </w:numPr>
        <w:shd w:val="clear" w:color="auto" w:fill="auto"/>
        <w:tabs>
          <w:tab w:val="left" w:pos="622"/>
        </w:tabs>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критериев результативности инвестиционной деятельности предприятия в связи с происходящими изменениями, как во внешней, так и во внутренней среде его функционирования.</w:t>
      </w:r>
    </w:p>
    <w:p w:rsidR="00A3544D" w:rsidRPr="00656D2B" w:rsidRDefault="00A3544D" w:rsidP="00A3544D">
      <w:pPr>
        <w:pStyle w:val="180"/>
        <w:numPr>
          <w:ilvl w:val="0"/>
          <w:numId w:val="7"/>
        </w:numPr>
        <w:shd w:val="clear" w:color="auto" w:fill="auto"/>
        <w:tabs>
          <w:tab w:val="left" w:pos="646"/>
        </w:tabs>
        <w:spacing w:before="0" w:line="240" w:lineRule="auto"/>
        <w:ind w:left="60"/>
        <w:rPr>
          <w:rFonts w:ascii="Times New Roman" w:hAnsi="Times New Roman"/>
          <w:sz w:val="24"/>
          <w:szCs w:val="24"/>
        </w:rPr>
      </w:pPr>
      <w:r w:rsidRPr="00656D2B">
        <w:rPr>
          <w:rStyle w:val="18"/>
          <w:rFonts w:ascii="Times New Roman" w:hAnsi="Times New Roman"/>
          <w:i/>
          <w:iCs/>
          <w:color w:val="000000"/>
          <w:sz w:val="24"/>
          <w:szCs w:val="24"/>
        </w:rPr>
        <w:t>Понятие инвестиционной стратегии, этапы ее разработки</w:t>
      </w:r>
    </w:p>
    <w:p w:rsidR="00A3544D" w:rsidRPr="00656D2B" w:rsidRDefault="00A3544D" w:rsidP="00A3544D">
      <w:pPr>
        <w:pStyle w:val="a4"/>
        <w:shd w:val="clear" w:color="auto" w:fill="auto"/>
        <w:tabs>
          <w:tab w:val="left" w:pos="4015"/>
        </w:tabs>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Процесс разработки инвестиционной стратегии является </w:t>
      </w:r>
      <w:proofErr w:type="gramStart"/>
      <w:r w:rsidRPr="00656D2B">
        <w:rPr>
          <w:rStyle w:val="a3"/>
          <w:rFonts w:ascii="Times New Roman" w:hAnsi="Times New Roman"/>
          <w:color w:val="000000"/>
          <w:sz w:val="24"/>
          <w:szCs w:val="24"/>
        </w:rPr>
        <w:t>важнейшей .составной</w:t>
      </w:r>
      <w:proofErr w:type="gramEnd"/>
      <w:r w:rsidRPr="00656D2B">
        <w:rPr>
          <w:rStyle w:val="a3"/>
          <w:rFonts w:ascii="Times New Roman" w:hAnsi="Times New Roman"/>
          <w:color w:val="000000"/>
          <w:sz w:val="24"/>
          <w:szCs w:val="24"/>
        </w:rPr>
        <w:t xml:space="preserve"> частью общей системы стратегического выбора предприятия, основными элементами которого являются:</w:t>
      </w:r>
      <w:r w:rsidRPr="00656D2B">
        <w:rPr>
          <w:rStyle w:val="a3"/>
          <w:rFonts w:ascii="Times New Roman" w:hAnsi="Times New Roman"/>
          <w:color w:val="000000"/>
          <w:sz w:val="24"/>
          <w:szCs w:val="24"/>
        </w:rPr>
        <w:tab/>
        <w:t>/</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миссия предприятия,</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общие стратегические цели его развития,</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система функциональных стратегий в разрезе отдельных видов деятельности,</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способы формирования и распределения ресурсов.</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Инвестиционная деятельность предприятия во всех её формах не может сводиться к удовлетворению текущих его инвестиционных потребностей, определяемых необходимостью замены выбывающих активов или их прироста в связи с происходящими изменениями объёма и структуры хозяйственной деятельности. На современном этапе всё большее число предприятий осознаёт необходимость сознательного перспективного управления инвестиционной деятельностью, эффективным инструментом которого в условиях происходящих существенных изменений макроэкономических показателей, системы государственного регулирования рыночных процессов, конъюнктуры инвестиционного рынка выступает инвестиционная стратегия. Инвестиционная стратегия представляет собой систему долгосрочных целей инвестиционной деятельности предприятия, определяемых общими задачами его развития и инвестиционной идеологией, а также выбор наиболее эффективных путей их достижения.</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Инвестиционную стратегию можно </w:t>
      </w:r>
      <w:proofErr w:type="gramStart"/>
      <w:r w:rsidRPr="00656D2B">
        <w:rPr>
          <w:rStyle w:val="a3"/>
          <w:rFonts w:ascii="Times New Roman" w:hAnsi="Times New Roman"/>
          <w:color w:val="000000"/>
          <w:sz w:val="24"/>
          <w:szCs w:val="24"/>
        </w:rPr>
        <w:t>представить</w:t>
      </w:r>
      <w:proofErr w:type="gramEnd"/>
      <w:r w:rsidRPr="00656D2B">
        <w:rPr>
          <w:rStyle w:val="a3"/>
          <w:rFonts w:ascii="Times New Roman" w:hAnsi="Times New Roman"/>
          <w:color w:val="000000"/>
          <w:sz w:val="24"/>
          <w:szCs w:val="24"/>
        </w:rPr>
        <w:t xml:space="preserve"> как генеральный план действий в сфере инвестиционной деятельности предприятия, определяющий приоритеты её направлений и форм, характер формирования инвестиционных ресурсов и последовательность этапов реализации долгосрочных инвестиционных целей, обеспечивающих предусмотренное общее развитие предприятия. Соединение в инвестиционной стратегии системы целей и путей их достижения определяет границы возможной инвестиционной активности предприятия и принимаемых инвестиционных решений по направлениям и формам его инвестиционной деятельности в перспективном периоде. Инвестиционную стратегию предприятия можно охарактеризовать также как систему формализованных критериев, по которым оно оценивает и реализует свои инвестиционные возможности, моделирует свою перспективную инвестиционную позицию и обеспечивает её достижение. Таким образом, инвестиционная стратегия представляет собой </w:t>
      </w:r>
      <w:proofErr w:type="spellStart"/>
      <w:r w:rsidRPr="00656D2B">
        <w:rPr>
          <w:rStyle w:val="a3"/>
          <w:rFonts w:ascii="Times New Roman" w:hAnsi="Times New Roman"/>
          <w:color w:val="000000"/>
          <w:sz w:val="24"/>
          <w:szCs w:val="24"/>
        </w:rPr>
        <w:t>системну</w:t>
      </w:r>
      <w:proofErr w:type="spellEnd"/>
      <w:r w:rsidRPr="00656D2B">
        <w:rPr>
          <w:rStyle w:val="a3"/>
          <w:rFonts w:ascii="Times New Roman" w:hAnsi="Times New Roman"/>
          <w:color w:val="000000"/>
          <w:sz w:val="24"/>
          <w:szCs w:val="24"/>
        </w:rPr>
        <w:t xml:space="preserve"> ю концепцию, связующую и направляющую развитие инвестиционной деятельности предприятия.</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 xml:space="preserve">Формирование инвестиционной стратегии предприятия представляет собой сложный творческий процесс, базирующийся на прогнозировании конъюнктуры инвестиционного рынка и условий осуществления инвестиционной деятельности. Сложность этого процесса заключается в том, что он предполагает обширный поиск и оценку альтернативных </w:t>
      </w:r>
      <w:r w:rsidRPr="00656D2B">
        <w:rPr>
          <w:rStyle w:val="a3"/>
          <w:rFonts w:ascii="Times New Roman" w:hAnsi="Times New Roman"/>
          <w:color w:val="000000"/>
          <w:sz w:val="24"/>
          <w:szCs w:val="24"/>
        </w:rPr>
        <w:lastRenderedPageBreak/>
        <w:t xml:space="preserve">вариантов инвестиционных решений, наиболее полно соответствующих имиджу компании и задачам её развития. </w:t>
      </w:r>
      <w:proofErr w:type="gramStart"/>
      <w:r w:rsidRPr="00656D2B">
        <w:rPr>
          <w:rStyle w:val="a3"/>
          <w:rFonts w:ascii="Times New Roman" w:hAnsi="Times New Roman"/>
          <w:color w:val="000000"/>
          <w:sz w:val="24"/>
          <w:szCs w:val="24"/>
        </w:rPr>
        <w:t>Кроме того</w:t>
      </w:r>
      <w:proofErr w:type="gramEnd"/>
      <w:r w:rsidRPr="00656D2B">
        <w:rPr>
          <w:rStyle w:val="a3"/>
          <w:rFonts w:ascii="Times New Roman" w:hAnsi="Times New Roman"/>
          <w:color w:val="000000"/>
          <w:sz w:val="24"/>
          <w:szCs w:val="24"/>
        </w:rPr>
        <w:t>. Определённая сложность состоит также в том, что инвестиционная стратегия не является неизменной, а требует периодической корректировки с учётом меняющихся внешних условий и новых возможностей роста компании.</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Разработка инвестиционной стратегии включает постановку целей инвестиционной деятельности, определение её приоритетных направлений и форм, оптимизацию структуры формируемых инвестиционных ресурсов и их распределения, выработку инвестиционной политики по наиболее важным аспектам инвестиционной деятельности, поддержание взаимоотношений с внешней инвестиционной средой.</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Процесс разработки стратегии инвестиционной политики предприятий осуществляется в три этапа:</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Этап 1 - определение и описание условий формирования стратегии инвестиционной политики:</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На первом этапе необходимо выполнить следующие работы:</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-ситуационный анализ инвестиционного климата;</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-системный анализ существующей стратегии инвестиционной политики;</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описание инвестиционного процесса;</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системный анализ регламентирующей документации.</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Этап 2 - формирование стратегий инвестиционной политики.</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На втором этапе необходимо:</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разработать стратегии долгосрочной инвестиционной политики;</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разработать стратегии среднесрочной инвестиционной политики;</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разработать стратегии текущей инвестиционной политики;</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формировать концептуальную схему инвестиционных объектов.</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Этап 3 - реализация стратегии инвестиционной политики.</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Основным этапом при разработке стратегии инвестиционной политики является второй.</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При формировании долгосрочной стратегии инвестиционной политики надо ориентироваться на выявление ключевых проблем, решение которых обуславливает те или иные направления развития отрасли.</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Разработка стратегии долгосрочной инвестиции включает следующий круг вопросов:</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определение приоритетных целей и задач инвестиционной политики отрасли на перспективу;</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формирование принципов и методологии экономического обоснования инвестиционных стратегий;</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разработка альтернативных стратегий развития отрасли;</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определение тенденций развития.</w:t>
      </w:r>
    </w:p>
    <w:p w:rsidR="00A3544D" w:rsidRPr="00656D2B" w:rsidRDefault="00A3544D" w:rsidP="00A3544D">
      <w:pPr>
        <w:pStyle w:val="a4"/>
        <w:shd w:val="clear" w:color="auto" w:fill="auto"/>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При формировании среднесрочной инвестиционной политики очередность решаемых вопросов уже детализирован и включает:</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определение стратегии среднесрочной политики;</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анализ альтернатив;</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прогноз дефицита ресурсов и определение путей их снижения;</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прогноз эффективности инвестиций при различных приоритетах финансирования;</w:t>
      </w:r>
    </w:p>
    <w:p w:rsidR="00A3544D" w:rsidRPr="00656D2B" w:rsidRDefault="00A3544D" w:rsidP="00A3544D">
      <w:pPr>
        <w:pStyle w:val="a4"/>
        <w:numPr>
          <w:ilvl w:val="0"/>
          <w:numId w:val="2"/>
        </w:numPr>
        <w:shd w:val="clear" w:color="auto" w:fill="auto"/>
        <w:tabs>
          <w:tab w:val="left" w:pos="60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оценка величины инвестиционных рисков по каждой из альтернативных стратегий;</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определение мер по повышению надежности исполнения каждой стратегии.</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Стратегия текущей инвестиционной политики строится на основе оценки и отбора инвестиционных проектов. Последовательность решения вопросов при разработке стратегии текущей инвестиционной политики может быть таким:</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предварительный отбор предприятий для инвестирования;</w:t>
      </w:r>
    </w:p>
    <w:p w:rsidR="00A3544D" w:rsidRPr="00656D2B" w:rsidRDefault="00A3544D" w:rsidP="00A3544D">
      <w:pPr>
        <w:pStyle w:val="a4"/>
        <w:numPr>
          <w:ilvl w:val="0"/>
          <w:numId w:val="2"/>
        </w:numPr>
        <w:shd w:val="clear" w:color="auto" w:fill="auto"/>
        <w:tabs>
          <w:tab w:val="left" w:pos="61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вычисление локальных критериев для каждого предприятия;</w:t>
      </w:r>
    </w:p>
    <w:p w:rsidR="00A3544D" w:rsidRPr="00656D2B" w:rsidRDefault="00A3544D" w:rsidP="00A3544D">
      <w:pPr>
        <w:pStyle w:val="a4"/>
        <w:numPr>
          <w:ilvl w:val="0"/>
          <w:numId w:val="2"/>
        </w:numPr>
        <w:shd w:val="clear" w:color="auto" w:fill="auto"/>
        <w:tabs>
          <w:tab w:val="left" w:pos="607"/>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вычисление интегральных критериев для группы предприятий;</w:t>
      </w:r>
    </w:p>
    <w:p w:rsidR="00A3544D" w:rsidRPr="00656D2B" w:rsidRDefault="00A3544D" w:rsidP="00A3544D">
      <w:pPr>
        <w:pStyle w:val="a4"/>
        <w:numPr>
          <w:ilvl w:val="0"/>
          <w:numId w:val="2"/>
        </w:numPr>
        <w:shd w:val="clear" w:color="auto" w:fill="auto"/>
        <w:tabs>
          <w:tab w:val="left" w:pos="61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lastRenderedPageBreak/>
        <w:t>ранжирование возможных для инвестирования предприятия;</w:t>
      </w:r>
    </w:p>
    <w:p w:rsidR="00A3544D" w:rsidRPr="00656D2B" w:rsidRDefault="00A3544D" w:rsidP="00A3544D">
      <w:pPr>
        <w:pStyle w:val="a4"/>
        <w:numPr>
          <w:ilvl w:val="0"/>
          <w:numId w:val="2"/>
        </w:numPr>
        <w:shd w:val="clear" w:color="auto" w:fill="auto"/>
        <w:tabs>
          <w:tab w:val="left" w:pos="612"/>
        </w:tabs>
        <w:spacing w:after="0" w:line="240" w:lineRule="auto"/>
        <w:ind w:left="60" w:firstLine="480"/>
        <w:jc w:val="both"/>
        <w:rPr>
          <w:rFonts w:ascii="Times New Roman" w:hAnsi="Times New Roman"/>
          <w:sz w:val="24"/>
          <w:szCs w:val="24"/>
        </w:rPr>
      </w:pPr>
      <w:r w:rsidRPr="00656D2B">
        <w:rPr>
          <w:rStyle w:val="a3"/>
          <w:rFonts w:ascii="Times New Roman" w:hAnsi="Times New Roman"/>
          <w:color w:val="000000"/>
          <w:sz w:val="24"/>
          <w:szCs w:val="24"/>
        </w:rPr>
        <w:t>выбор нескольких объектов для инвестирования получивших достаточно высокое место при ранжировании.</w:t>
      </w:r>
    </w:p>
    <w:p w:rsidR="00A3544D" w:rsidRPr="00656D2B" w:rsidRDefault="00A3544D" w:rsidP="00A3544D">
      <w:pPr>
        <w:pStyle w:val="a4"/>
        <w:shd w:val="clear" w:color="auto" w:fill="auto"/>
        <w:spacing w:after="0" w:line="240" w:lineRule="auto"/>
        <w:ind w:left="60" w:right="40" w:firstLine="480"/>
        <w:jc w:val="both"/>
        <w:rPr>
          <w:rFonts w:ascii="Times New Roman" w:hAnsi="Times New Roman"/>
          <w:sz w:val="24"/>
          <w:szCs w:val="24"/>
        </w:rPr>
      </w:pPr>
      <w:r w:rsidRPr="00656D2B">
        <w:rPr>
          <w:rStyle w:val="a3"/>
          <w:rFonts w:ascii="Times New Roman" w:hAnsi="Times New Roman"/>
          <w:color w:val="000000"/>
          <w:sz w:val="24"/>
          <w:szCs w:val="24"/>
        </w:rPr>
        <w:t>Завершающий этап - реализация стратегии инвестиционной политики требует совершенствования управления инвестиционным процессом.</w:t>
      </w:r>
    </w:p>
    <w:p w:rsidR="00947D45" w:rsidRDefault="00947D45">
      <w:bookmarkStart w:id="0" w:name="_GoBack"/>
      <w:bookmarkEnd w:id="0"/>
    </w:p>
    <w:sectPr w:rsidR="00947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C7"/>
    <w:multiLevelType w:val="multilevel"/>
    <w:tmpl w:val="000000C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1" w15:restartNumberingAfterBreak="0">
    <w:nsid w:val="000000D3"/>
    <w:multiLevelType w:val="multilevel"/>
    <w:tmpl w:val="000000D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2" w15:restartNumberingAfterBreak="0">
    <w:nsid w:val="000000F1"/>
    <w:multiLevelType w:val="multilevel"/>
    <w:tmpl w:val="000000F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3" w15:restartNumberingAfterBreak="0">
    <w:nsid w:val="000000F3"/>
    <w:multiLevelType w:val="multilevel"/>
    <w:tmpl w:val="000000F2"/>
    <w:lvl w:ilvl="0">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1">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2">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3">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4">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5">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6">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7">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8">
      <w:start w:val="1"/>
      <w:numFmt w:val="upperRoman"/>
      <w:lvlText w:val="%1."/>
      <w:lvlJc w:val="left"/>
      <w:rPr>
        <w:rFonts w:ascii="Bookman Old Style" w:hAnsi="Bookman Old Style" w:cs="Bookman Old Style"/>
        <w:b w:val="0"/>
        <w:bCs w:val="0"/>
        <w:i/>
        <w:iCs/>
        <w:smallCaps w:val="0"/>
        <w:strike w:val="0"/>
        <w:color w:val="000000"/>
        <w:spacing w:val="0"/>
        <w:w w:val="100"/>
        <w:position w:val="0"/>
        <w:sz w:val="9"/>
        <w:szCs w:val="9"/>
        <w:u w:val="none"/>
      </w:rPr>
    </w:lvl>
  </w:abstractNum>
  <w:abstractNum w:abstractNumId="4" w15:restartNumberingAfterBreak="0">
    <w:nsid w:val="000000F5"/>
    <w:multiLevelType w:val="multilevel"/>
    <w:tmpl w:val="000000F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5" w15:restartNumberingAfterBreak="0">
    <w:nsid w:val="000000F7"/>
    <w:multiLevelType w:val="multilevel"/>
    <w:tmpl w:val="000000F6"/>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9"/>
        <w:szCs w:val="9"/>
        <w:u w:val="none"/>
      </w:rPr>
    </w:lvl>
  </w:abstractNum>
  <w:abstractNum w:abstractNumId="6" w15:restartNumberingAfterBreak="0">
    <w:nsid w:val="000000F9"/>
    <w:multiLevelType w:val="multilevel"/>
    <w:tmpl w:val="000000F8"/>
    <w:lvl w:ilvl="0">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1">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2">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3">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4">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5">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6">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7">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lvl w:ilvl="8">
      <w:start w:val="2"/>
      <w:numFmt w:val="decimal"/>
      <w:lvlText w:val="%1."/>
      <w:lvlJc w:val="left"/>
      <w:rPr>
        <w:rFonts w:ascii="Bookman Old Style" w:hAnsi="Bookman Old Style" w:cs="Bookman Old Style"/>
        <w:b w:val="0"/>
        <w:bCs w:val="0"/>
        <w:i/>
        <w:iCs/>
        <w:smallCaps w:val="0"/>
        <w:strike w:val="0"/>
        <w:color w:val="000000"/>
        <w:spacing w:val="0"/>
        <w:w w:val="100"/>
        <w:position w:val="0"/>
        <w:sz w:val="9"/>
        <w:szCs w:val="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E1"/>
    <w:rsid w:val="00947D45"/>
    <w:rsid w:val="00A3544D"/>
    <w:rsid w:val="00D7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C6A2B-031E-4897-A504-0ADBE47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4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3544D"/>
    <w:rPr>
      <w:rFonts w:ascii="Bookman Old Style" w:hAnsi="Bookman Old Style"/>
      <w:sz w:val="9"/>
      <w:szCs w:val="9"/>
      <w:shd w:val="clear" w:color="auto" w:fill="FFFFFF"/>
    </w:rPr>
  </w:style>
  <w:style w:type="character" w:customStyle="1" w:styleId="18">
    <w:name w:val="Основной текст (18)_"/>
    <w:link w:val="180"/>
    <w:rsid w:val="00A3544D"/>
    <w:rPr>
      <w:rFonts w:ascii="Bookman Old Style" w:hAnsi="Bookman Old Style"/>
      <w:i/>
      <w:iCs/>
      <w:sz w:val="9"/>
      <w:szCs w:val="9"/>
      <w:shd w:val="clear" w:color="auto" w:fill="FFFFFF"/>
    </w:rPr>
  </w:style>
  <w:style w:type="paragraph" w:styleId="a4">
    <w:name w:val="Body Text"/>
    <w:basedOn w:val="a"/>
    <w:link w:val="a3"/>
    <w:rsid w:val="00A3544D"/>
    <w:pPr>
      <w:shd w:val="clear" w:color="auto" w:fill="FFFFFF"/>
      <w:spacing w:after="5040" w:line="240" w:lineRule="atLeast"/>
      <w:jc w:val="center"/>
    </w:pPr>
    <w:rPr>
      <w:rFonts w:ascii="Bookman Old Style" w:eastAsiaTheme="minorHAnsi" w:hAnsi="Bookman Old Style" w:cstheme="minorBidi"/>
      <w:color w:val="auto"/>
      <w:sz w:val="9"/>
      <w:szCs w:val="9"/>
      <w:lang w:eastAsia="en-US"/>
    </w:rPr>
  </w:style>
  <w:style w:type="character" w:customStyle="1" w:styleId="1">
    <w:name w:val="Основной текст Знак1"/>
    <w:basedOn w:val="a0"/>
    <w:uiPriority w:val="99"/>
    <w:semiHidden/>
    <w:rsid w:val="00A3544D"/>
    <w:rPr>
      <w:rFonts w:ascii="Courier New" w:eastAsia="Courier New" w:hAnsi="Courier New" w:cs="Courier New"/>
      <w:color w:val="000000"/>
      <w:sz w:val="24"/>
      <w:szCs w:val="24"/>
      <w:lang w:eastAsia="ru-RU"/>
    </w:rPr>
  </w:style>
  <w:style w:type="paragraph" w:customStyle="1" w:styleId="180">
    <w:name w:val="Основной текст (18)"/>
    <w:basedOn w:val="a"/>
    <w:link w:val="18"/>
    <w:rsid w:val="00A3544D"/>
    <w:pPr>
      <w:shd w:val="clear" w:color="auto" w:fill="FFFFFF"/>
      <w:spacing w:before="120" w:line="125" w:lineRule="exact"/>
      <w:ind w:firstLine="480"/>
      <w:jc w:val="both"/>
    </w:pPr>
    <w:rPr>
      <w:rFonts w:ascii="Bookman Old Style" w:eastAsiaTheme="minorHAnsi" w:hAnsi="Bookman Old Style" w:cstheme="minorBidi"/>
      <w:i/>
      <w:iCs/>
      <w:color w:val="auto"/>
      <w:sz w:val="9"/>
      <w:szCs w:val="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1873</Words>
  <Characters>10680</Characters>
  <Application>Microsoft Office Word</Application>
  <DocSecurity>0</DocSecurity>
  <Lines>89</Lines>
  <Paragraphs>25</Paragraphs>
  <ScaleCrop>false</ScaleCrop>
  <Company/>
  <LinksUpToDate>false</LinksUpToDate>
  <CharactersWithSpaces>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k1-259-5</dc:creator>
  <cp:keywords/>
  <dc:description/>
  <cp:lastModifiedBy>k1-259-5</cp:lastModifiedBy>
  <cp:revision>2</cp:revision>
  <dcterms:created xsi:type="dcterms:W3CDTF">2020-09-18T07:44:00Z</dcterms:created>
  <dcterms:modified xsi:type="dcterms:W3CDTF">2020-09-18T07:44:00Z</dcterms:modified>
</cp:coreProperties>
</file>